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3A" w:rsidRPr="00D7773A" w:rsidRDefault="00D7773A" w:rsidP="00D7773A">
      <w:pPr>
        <w:pStyle w:val="a5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73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Недійсність заповіту</w:t>
      </w:r>
    </w:p>
    <w:p w:rsidR="00D7773A" w:rsidRPr="00D7773A" w:rsidRDefault="00D7773A" w:rsidP="00D7773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73A">
        <w:rPr>
          <w:rFonts w:ascii="Times New Roman" w:hAnsi="Times New Roman" w:cs="Times New Roman"/>
          <w:sz w:val="28"/>
          <w:szCs w:val="28"/>
        </w:rPr>
        <w:t>Заповіт, складений особою, яка не мала на це права, а також заповіт, складений з порушенням вимог щодо його форми та посвідчення, є нікчемним.</w:t>
      </w:r>
    </w:p>
    <w:p w:rsidR="00D7773A" w:rsidRPr="00D7773A" w:rsidRDefault="00D7773A" w:rsidP="00D7773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73A">
        <w:rPr>
          <w:rFonts w:ascii="Times New Roman" w:hAnsi="Times New Roman" w:cs="Times New Roman"/>
          <w:sz w:val="28"/>
          <w:szCs w:val="28"/>
        </w:rPr>
        <w:t>За позовом заінтересованої особи суд визнає заповіт недійсним, якщо буде встановлено, що волевиявлення заповідача не було вільним і не відповідало його волі.</w:t>
      </w:r>
    </w:p>
    <w:p w:rsidR="00D7773A" w:rsidRPr="00D7773A" w:rsidRDefault="00D7773A" w:rsidP="00D7773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73A">
        <w:rPr>
          <w:rFonts w:ascii="Times New Roman" w:hAnsi="Times New Roman" w:cs="Times New Roman"/>
          <w:sz w:val="28"/>
          <w:szCs w:val="28"/>
        </w:rPr>
        <w:t>Недійсність окремого розпорядження, що міститься у заповіті, не має наслідком недійсності іншої його частини.</w:t>
      </w:r>
    </w:p>
    <w:p w:rsidR="00D7773A" w:rsidRPr="00D7773A" w:rsidRDefault="00D7773A" w:rsidP="00D7773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73A">
        <w:rPr>
          <w:rFonts w:ascii="Times New Roman" w:hAnsi="Times New Roman" w:cs="Times New Roman"/>
          <w:sz w:val="28"/>
          <w:szCs w:val="28"/>
        </w:rPr>
        <w:t>У разі недійсності заповіту спадкоємець, який за цим заповітом був позбавлений права на спадкування, одержує право на спадкування за законом на загальних підставах.</w:t>
      </w:r>
    </w:p>
    <w:p w:rsidR="00D7773A" w:rsidRPr="00D7773A" w:rsidRDefault="00D7773A" w:rsidP="00D7773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73A">
        <w:rPr>
          <w:rFonts w:ascii="Times New Roman" w:hAnsi="Times New Roman" w:cs="Times New Roman"/>
          <w:sz w:val="28"/>
          <w:szCs w:val="28"/>
        </w:rPr>
        <w:t xml:space="preserve">Однією з особливостей заповіту як правочину є те, що він водночас може бути віднесений і до нікчемних, і до </w:t>
      </w:r>
      <w:proofErr w:type="spellStart"/>
      <w:r w:rsidRPr="00D7773A">
        <w:rPr>
          <w:rFonts w:ascii="Times New Roman" w:hAnsi="Times New Roman" w:cs="Times New Roman"/>
          <w:sz w:val="28"/>
          <w:szCs w:val="28"/>
        </w:rPr>
        <w:t>оспорюваних</w:t>
      </w:r>
      <w:proofErr w:type="spellEnd"/>
      <w:r w:rsidRPr="00D7773A">
        <w:rPr>
          <w:rFonts w:ascii="Times New Roman" w:hAnsi="Times New Roman" w:cs="Times New Roman"/>
          <w:sz w:val="28"/>
          <w:szCs w:val="28"/>
        </w:rPr>
        <w:t xml:space="preserve"> правочинів.</w:t>
      </w:r>
    </w:p>
    <w:p w:rsidR="00D7773A" w:rsidRPr="00D7773A" w:rsidRDefault="00D7773A" w:rsidP="00D7773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73A">
        <w:rPr>
          <w:rFonts w:ascii="Times New Roman" w:hAnsi="Times New Roman" w:cs="Times New Roman"/>
          <w:sz w:val="28"/>
          <w:szCs w:val="28"/>
        </w:rPr>
        <w:t>Підставами нікчемності заповіту, тобто недійсності в силу закону, без необхідності прийняття рішення про недійсність судом, є складання заповіту особою, яка не мала на це права, або складання з порушенням форми та посвідчення заповіту. Оскільки право на складання заповіту має особа з повною цивільною дієздатністю (ч. 1 ст. 1234 Ц</w:t>
      </w:r>
      <w:r>
        <w:rPr>
          <w:rFonts w:ascii="Times New Roman" w:hAnsi="Times New Roman" w:cs="Times New Roman"/>
          <w:sz w:val="28"/>
          <w:szCs w:val="28"/>
        </w:rPr>
        <w:t>ивільного кодексу України</w:t>
      </w:r>
      <w:r w:rsidRPr="00D7773A">
        <w:rPr>
          <w:rFonts w:ascii="Times New Roman" w:hAnsi="Times New Roman" w:cs="Times New Roman"/>
          <w:sz w:val="28"/>
          <w:szCs w:val="28"/>
        </w:rPr>
        <w:t>К), згідно ч. 1 ст. 1257 ЦК це і є основною підставою для нікчемності заповіту як такого, що складений особою, яка не мала на це права. Проте в переважній більшості випадків такі заповіти стають предметом судового розгляду, в процесі якого і визначається обсяг дієздатності фізичної особи-заповідача за допомогою посмертної судово-психіатричної експертизи. Тому попри віднесення таких заповітів до нікчемних, вони можуть визнаватися недійними в судовому порядку.</w:t>
      </w:r>
    </w:p>
    <w:p w:rsidR="00D7773A" w:rsidRPr="00D7773A" w:rsidRDefault="00D7773A" w:rsidP="00D7773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73A">
        <w:rPr>
          <w:rFonts w:ascii="Times New Roman" w:hAnsi="Times New Roman" w:cs="Times New Roman"/>
          <w:sz w:val="28"/>
          <w:szCs w:val="28"/>
        </w:rPr>
        <w:t>Порушення форми та порядку посвідчення заповітів являють собою неврахування будь-яких імперативних вимог закону, підзаконних актів щодо складання заповіту (відсутність нотаріального посвідчення або посвідчення особами, яке прирівнюється до нотаріального, складання заповіту представником, відсутність у тексті заповіту дати, місця його складання, дати та місця народження заповідача тощо).</w:t>
      </w:r>
    </w:p>
    <w:p w:rsidR="00D7773A" w:rsidRPr="00D7773A" w:rsidRDefault="00D7773A" w:rsidP="00D7773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73A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r w:rsidRPr="00D7773A">
        <w:rPr>
          <w:rFonts w:ascii="Times New Roman" w:hAnsi="Times New Roman" w:cs="Times New Roman"/>
          <w:sz w:val="28"/>
          <w:szCs w:val="28"/>
        </w:rPr>
        <w:t>оспорюваних</w:t>
      </w:r>
      <w:proofErr w:type="spellEnd"/>
      <w:r w:rsidRPr="00D7773A">
        <w:rPr>
          <w:rFonts w:ascii="Times New Roman" w:hAnsi="Times New Roman" w:cs="Times New Roman"/>
          <w:sz w:val="28"/>
          <w:szCs w:val="28"/>
        </w:rPr>
        <w:t xml:space="preserve"> заповітів за змістом частини другої коментованої статті належать ті з них, які визнаються недійними за судовим рішенням на підставі встановлення того факту, що волевиявлення заповідача не було вільним і не відповідало його волі. В даному випадку має місце порушення вимоги дійсності правочину, яка передбачена у ч. 3 ст. 203 ЦК.</w:t>
      </w:r>
    </w:p>
    <w:p w:rsidR="00D7773A" w:rsidRPr="00D7773A" w:rsidRDefault="00D7773A" w:rsidP="00D7773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73A">
        <w:rPr>
          <w:rFonts w:ascii="Times New Roman" w:hAnsi="Times New Roman" w:cs="Times New Roman"/>
          <w:sz w:val="28"/>
          <w:szCs w:val="28"/>
        </w:rPr>
        <w:t xml:space="preserve">При цьому недійні заповіти за ч. 2 ст. 1257 ЦК слід відрізняти від класичних </w:t>
      </w:r>
      <w:proofErr w:type="spellStart"/>
      <w:r w:rsidRPr="00D7773A">
        <w:rPr>
          <w:rFonts w:ascii="Times New Roman" w:hAnsi="Times New Roman" w:cs="Times New Roman"/>
          <w:sz w:val="28"/>
          <w:szCs w:val="28"/>
        </w:rPr>
        <w:t>оспорюваних</w:t>
      </w:r>
      <w:proofErr w:type="spellEnd"/>
      <w:r w:rsidRPr="00D7773A">
        <w:rPr>
          <w:rFonts w:ascii="Times New Roman" w:hAnsi="Times New Roman" w:cs="Times New Roman"/>
          <w:sz w:val="28"/>
          <w:szCs w:val="28"/>
        </w:rPr>
        <w:t xml:space="preserve"> правочинів, які передбачені ч. 3 ст. 215 ЦК. До </w:t>
      </w:r>
      <w:proofErr w:type="spellStart"/>
      <w:r w:rsidRPr="00D7773A">
        <w:rPr>
          <w:rFonts w:ascii="Times New Roman" w:hAnsi="Times New Roman" w:cs="Times New Roman"/>
          <w:sz w:val="28"/>
          <w:szCs w:val="28"/>
        </w:rPr>
        <w:t>оспорюваних</w:t>
      </w:r>
      <w:proofErr w:type="spellEnd"/>
      <w:r w:rsidRPr="00D7773A">
        <w:rPr>
          <w:rFonts w:ascii="Times New Roman" w:hAnsi="Times New Roman" w:cs="Times New Roman"/>
          <w:sz w:val="28"/>
          <w:szCs w:val="28"/>
        </w:rPr>
        <w:t xml:space="preserve"> належать правочини, які за наявності певних порушень можуть бути визнані судом недійсними, в той час як заповіт</w:t>
      </w:r>
      <w:r>
        <w:rPr>
          <w:rFonts w:ascii="Times New Roman" w:hAnsi="Times New Roman" w:cs="Times New Roman"/>
          <w:sz w:val="28"/>
          <w:szCs w:val="28"/>
        </w:rPr>
        <w:t>, який складено з «пороком волі»</w:t>
      </w:r>
      <w:r w:rsidRPr="00D7773A">
        <w:rPr>
          <w:rFonts w:ascii="Times New Roman" w:hAnsi="Times New Roman" w:cs="Times New Roman"/>
          <w:sz w:val="28"/>
          <w:szCs w:val="28"/>
        </w:rPr>
        <w:t>, суд має визнати недійним.</w:t>
      </w:r>
    </w:p>
    <w:p w:rsidR="00D7773A" w:rsidRPr="00D7773A" w:rsidRDefault="00D7773A" w:rsidP="00D7773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73A">
        <w:rPr>
          <w:rFonts w:ascii="Times New Roman" w:hAnsi="Times New Roman" w:cs="Times New Roman"/>
          <w:sz w:val="28"/>
          <w:szCs w:val="28"/>
        </w:rPr>
        <w:t>Продовженням ст. 217 ЦК, яка встановлює, що недійсність окремої частини правочину не має наслідком недійсності інших його частин і правочину в цілому, якщо можна припустити, що правочин був би вчинений і без включення до нього недійсної частини, є норма ч. 3 ст. 1257 ЦК про те, що недійсність окремого розпорядження у заповіті не має наслідком недійсності іншої його частини.</w:t>
      </w:r>
    </w:p>
    <w:p w:rsidR="00D7773A" w:rsidRPr="00D7773A" w:rsidRDefault="00D7773A" w:rsidP="00D7773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73A">
        <w:rPr>
          <w:rFonts w:ascii="Times New Roman" w:hAnsi="Times New Roman" w:cs="Times New Roman"/>
          <w:sz w:val="28"/>
          <w:szCs w:val="28"/>
        </w:rPr>
        <w:lastRenderedPageBreak/>
        <w:t>Водночас слід уточнити, що положення ч. 3 ст. 1257 ЦК застосовуються тільки в тому випадку, коли внаслідок недійсності окремого розпорядження заповіт не визнається повністю недійсним. Наприклад, якщо у заповіті був призначений єдиний спадкоємець, на користь якого була залишена уся спадщина, а також покладено виконання заповідального відказу, а після смерті заповідача такий заповіт був визнаний недійним як такий, в якому зовнішнє волевиявлення не відповідало внутрішній волі заповідача, цілком очевидно, що розпорядження щодо заповідального відказу втрачає чинність внаслідок відсутності спадкоємця, який має таке розпорядження виконувати.</w:t>
      </w:r>
    </w:p>
    <w:p w:rsidR="00D7773A" w:rsidRPr="00D7773A" w:rsidRDefault="00D7773A" w:rsidP="00D7773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73A">
        <w:rPr>
          <w:rFonts w:ascii="Times New Roman" w:hAnsi="Times New Roman" w:cs="Times New Roman"/>
          <w:sz w:val="28"/>
          <w:szCs w:val="28"/>
        </w:rPr>
        <w:t>Визнання заповіту недійсним в цілому означає недійсність усіх розпоряджень заповідача, в тому числі і розпорядження щодо позбавлення спадкоємця права на спадкування.</w:t>
      </w:r>
    </w:p>
    <w:p w:rsidR="00D7773A" w:rsidRDefault="00D7773A" w:rsidP="00D7773A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773A">
        <w:rPr>
          <w:rFonts w:ascii="Times New Roman" w:hAnsi="Times New Roman" w:cs="Times New Roman"/>
          <w:sz w:val="28"/>
          <w:szCs w:val="28"/>
        </w:rPr>
        <w:t>Поряд з інститутом недійсних запов</w:t>
      </w:r>
      <w:r>
        <w:rPr>
          <w:rFonts w:ascii="Times New Roman" w:hAnsi="Times New Roman" w:cs="Times New Roman"/>
          <w:sz w:val="28"/>
          <w:szCs w:val="28"/>
        </w:rPr>
        <w:t>ітів, Цивільний кодекс України  оперує також поняттям «чинний заповіт»</w:t>
      </w:r>
      <w:r w:rsidRPr="00D7773A">
        <w:rPr>
          <w:rFonts w:ascii="Times New Roman" w:hAnsi="Times New Roman" w:cs="Times New Roman"/>
          <w:sz w:val="28"/>
          <w:szCs w:val="28"/>
        </w:rPr>
        <w:t xml:space="preserve"> (у частинах 3, 4 ст. 1235 ЦК, ч. 4 ст. 1236 ЦК). Можна припустити, що такі заповіти мають визнаватися не недійсними, а саме </w:t>
      </w:r>
      <w:proofErr w:type="spellStart"/>
      <w:r w:rsidRPr="00D7773A">
        <w:rPr>
          <w:rFonts w:ascii="Times New Roman" w:hAnsi="Times New Roman" w:cs="Times New Roman"/>
          <w:sz w:val="28"/>
          <w:szCs w:val="28"/>
        </w:rPr>
        <w:t>нечинними</w:t>
      </w:r>
      <w:proofErr w:type="spellEnd"/>
      <w:r w:rsidRPr="00D7773A">
        <w:rPr>
          <w:rFonts w:ascii="Times New Roman" w:hAnsi="Times New Roman" w:cs="Times New Roman"/>
          <w:sz w:val="28"/>
          <w:szCs w:val="28"/>
        </w:rPr>
        <w:t xml:space="preserve">, тобто неукладеними повністю або у частині, оскільки вони відповідають дійсній волі укладача, вчиняються в межах його цивільної дієздатності, в них відсутні порушення вимог закону щодо форми, порядку посвідчення. </w:t>
      </w:r>
    </w:p>
    <w:p w:rsidR="008967BE" w:rsidRDefault="00D7773A" w:rsidP="008967B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7773A">
        <w:rPr>
          <w:rFonts w:ascii="Times New Roman" w:hAnsi="Times New Roman" w:cs="Times New Roman"/>
          <w:sz w:val="28"/>
          <w:szCs w:val="28"/>
        </w:rPr>
        <w:t>Нечинність</w:t>
      </w:r>
      <w:proofErr w:type="spellEnd"/>
      <w:r w:rsidRPr="00D7773A">
        <w:rPr>
          <w:rFonts w:ascii="Times New Roman" w:hAnsi="Times New Roman" w:cs="Times New Roman"/>
          <w:sz w:val="28"/>
          <w:szCs w:val="28"/>
        </w:rPr>
        <w:t xml:space="preserve"> таких заповітів обумовлюється саме особливостями їх правової природи, адже чинність заповіту щодо складу об'єктів та суб'єктів спадкування згідно зазначених норм визначається на час відкриття спадщини, а не на час складання заповіту.</w:t>
      </w:r>
    </w:p>
    <w:p w:rsidR="008967BE" w:rsidRPr="008967BE" w:rsidRDefault="008967BE" w:rsidP="008967B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967BE" w:rsidRDefault="008967BE" w:rsidP="00896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7BE">
        <w:rPr>
          <w:rFonts w:ascii="Times New Roman" w:hAnsi="Times New Roman" w:cs="Times New Roman"/>
          <w:sz w:val="24"/>
          <w:szCs w:val="24"/>
        </w:rPr>
        <w:t xml:space="preserve">Чотирнадцята київська </w:t>
      </w:r>
    </w:p>
    <w:p w:rsidR="002518E6" w:rsidRPr="008967BE" w:rsidRDefault="008967BE" w:rsidP="008967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7BE">
        <w:rPr>
          <w:rFonts w:ascii="Times New Roman" w:hAnsi="Times New Roman" w:cs="Times New Roman"/>
          <w:sz w:val="24"/>
          <w:szCs w:val="24"/>
        </w:rPr>
        <w:t>державна нотаріальна контора</w:t>
      </w:r>
    </w:p>
    <w:sectPr w:rsidR="002518E6" w:rsidRPr="008967BE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773A"/>
    <w:rsid w:val="00016B33"/>
    <w:rsid w:val="000B3FD7"/>
    <w:rsid w:val="00130361"/>
    <w:rsid w:val="001441F1"/>
    <w:rsid w:val="00152759"/>
    <w:rsid w:val="00162B2B"/>
    <w:rsid w:val="002518E6"/>
    <w:rsid w:val="00274A02"/>
    <w:rsid w:val="002B007B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967BE"/>
    <w:rsid w:val="008A34C5"/>
    <w:rsid w:val="008B2053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C310FC"/>
    <w:rsid w:val="00C8078A"/>
    <w:rsid w:val="00CC2DCC"/>
    <w:rsid w:val="00D03DB5"/>
    <w:rsid w:val="00D10F72"/>
    <w:rsid w:val="00D40A86"/>
    <w:rsid w:val="00D7773A"/>
    <w:rsid w:val="00DE6049"/>
    <w:rsid w:val="00E7118A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7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D7773A"/>
    <w:rPr>
      <w:i/>
      <w:iCs/>
    </w:rPr>
  </w:style>
  <w:style w:type="paragraph" w:styleId="a5">
    <w:name w:val="No Spacing"/>
    <w:uiPriority w:val="1"/>
    <w:qFormat/>
    <w:rsid w:val="00D7773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5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2891</Words>
  <Characters>1648</Characters>
  <Application>Microsoft Office Word</Application>
  <DocSecurity>0</DocSecurity>
  <Lines>13</Lines>
  <Paragraphs>9</Paragraphs>
  <ScaleCrop>false</ScaleCrop>
  <Company>Krokoz™</Company>
  <LinksUpToDate>false</LinksUpToDate>
  <CharactersWithSpaces>4530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4</cp:revision>
  <dcterms:created xsi:type="dcterms:W3CDTF">2019-10-28T12:56:00Z</dcterms:created>
  <dcterms:modified xsi:type="dcterms:W3CDTF">2019-10-29T08:27:00Z</dcterms:modified>
</cp:coreProperties>
</file>