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1F" w:rsidRDefault="00577D1F" w:rsidP="00E50AB3">
      <w:pPr>
        <w:rPr>
          <w:rFonts w:ascii="Times New Roman" w:hAnsi="Times New Roman" w:cs="Times New Roman"/>
          <w:b/>
          <w:sz w:val="28"/>
          <w:szCs w:val="28"/>
        </w:rPr>
      </w:pPr>
    </w:p>
    <w:p w:rsidR="00EE4B72" w:rsidRDefault="00E50AB3" w:rsidP="00EE4B72">
      <w:pPr>
        <w:jc w:val="center"/>
        <w:rPr>
          <w:rFonts w:ascii="Times New Roman" w:hAnsi="Times New Roman" w:cs="Times New Roman"/>
          <w:b/>
          <w:sz w:val="28"/>
          <w:szCs w:val="28"/>
        </w:rPr>
      </w:pPr>
      <w:r w:rsidRPr="00E50AB3">
        <w:rPr>
          <w:rFonts w:ascii="Times New Roman" w:hAnsi="Times New Roman" w:cs="Times New Roman"/>
          <w:b/>
          <w:sz w:val="28"/>
          <w:szCs w:val="28"/>
        </w:rPr>
        <w:t xml:space="preserve">Які ключові зміни у застосуванні РРО/ПРРО запрацювали </w:t>
      </w:r>
    </w:p>
    <w:p w:rsidR="00E50AB3" w:rsidRDefault="00E50AB3" w:rsidP="00EE4B72">
      <w:pPr>
        <w:jc w:val="center"/>
        <w:rPr>
          <w:rFonts w:ascii="Times New Roman" w:hAnsi="Times New Roman" w:cs="Times New Roman"/>
          <w:b/>
          <w:sz w:val="28"/>
          <w:szCs w:val="28"/>
        </w:rPr>
      </w:pPr>
      <w:r w:rsidRPr="00E50AB3">
        <w:rPr>
          <w:rFonts w:ascii="Times New Roman" w:hAnsi="Times New Roman" w:cs="Times New Roman"/>
          <w:b/>
          <w:sz w:val="28"/>
          <w:szCs w:val="28"/>
        </w:rPr>
        <w:t xml:space="preserve">17 вересня </w:t>
      </w:r>
      <w:r>
        <w:rPr>
          <w:rFonts w:ascii="Times New Roman" w:hAnsi="Times New Roman" w:cs="Times New Roman"/>
          <w:b/>
          <w:sz w:val="28"/>
          <w:szCs w:val="28"/>
        </w:rPr>
        <w:t>2021 року</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Н</w:t>
      </w:r>
      <w:r w:rsidR="00E50AB3" w:rsidRPr="003D18FD">
        <w:rPr>
          <w:rFonts w:ascii="Times New Roman" w:hAnsi="Times New Roman" w:cs="Times New Roman"/>
          <w:sz w:val="28"/>
          <w:szCs w:val="28"/>
        </w:rPr>
        <w:t xml:space="preserve">аказом </w:t>
      </w:r>
      <w:r w:rsidR="00E50AB3" w:rsidRPr="003D18FD">
        <w:rPr>
          <w:rFonts w:ascii="Times New Roman" w:hAnsi="Times New Roman" w:cs="Times New Roman"/>
          <w:sz w:val="28"/>
          <w:szCs w:val="28"/>
        </w:rPr>
        <w:t xml:space="preserve">Міністерства фінансів України від 26.07.2021 р. № 427, що набрав чинності 17.09.2021 року, </w:t>
      </w:r>
      <w:r w:rsidR="00E50AB3" w:rsidRPr="003D18FD">
        <w:rPr>
          <w:rFonts w:ascii="Times New Roman" w:hAnsi="Times New Roman" w:cs="Times New Roman"/>
          <w:sz w:val="28"/>
          <w:szCs w:val="28"/>
        </w:rPr>
        <w:t>затверджено зміни до нормативно-правових актів, що регламентують процедури реєстрації, опломбування, застосування, обліку реєстраторів розрахункових операцій та центрів сервісного обслуговування в ДПС.</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ДПС акцентує на двох змінах. По-перше, у Порядку реєстрації та застосування реєстраторів розрахункових операцій, що застосовуються для реєстрації розрахункових операцій за товари (послуги), оновлено перелік обставин, що передбачають проведення операцій «службова видача» та «службове внесення», які не є фіскальними, на РРО, а саме:</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 внесення чи видача готівки з місця проведення розрахунків, якщо такі внесення чи видача не пов'язані з проведенням розрахункових операцій;</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 реєстрація суми готівки, яка зберігається у місці проведення розрахунків на момент реєстрації першої розрахункової операції, що проводиться після виконання Z-звіту (службове внесення);</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 реєстрація суми готівки, яка вилучається з місця проведення розрахунків та/або видається держателям електронних платіжних засобів (службова видача).</w:t>
      </w:r>
    </w:p>
    <w:p w:rsidR="00E50AB3" w:rsidRPr="003D18FD" w:rsidRDefault="00577D1F"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Зазначені операції уніфіковані та застосовуються тотожно як користувачами «традиційних» РРО, так і програмних.</w:t>
      </w:r>
    </w:p>
    <w:p w:rsidR="00E50AB3" w:rsidRPr="003D18FD" w:rsidRDefault="00EB5C9B"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r w:rsidR="00E50AB3" w:rsidRPr="003D18FD">
        <w:rPr>
          <w:rFonts w:ascii="Times New Roman" w:hAnsi="Times New Roman" w:cs="Times New Roman"/>
          <w:sz w:val="28"/>
          <w:szCs w:val="28"/>
        </w:rPr>
        <w:t>Також уточнено строки зберігання та обов'язок платника надати до перевірки під час її проведення актів «Про видачу коштів» та «Скасування помилково проведених через РРО сум розрахунків». Так, акти про видачу коштів та акти про скасування помилково проведеної через РРО суми розрахунку, помилкової форми оплати зберігаються протягом трьох років. При цьому суб'єкт господарювання зобов'язаний надати зазначені акти контролюючим органам під час проведення перевірки.</w:t>
      </w:r>
    </w:p>
    <w:p w:rsidR="00E50AB3" w:rsidRPr="003D18FD" w:rsidRDefault="00EB5C9B" w:rsidP="00182552">
      <w:pPr>
        <w:jc w:val="both"/>
        <w:rPr>
          <w:rFonts w:ascii="Times New Roman" w:hAnsi="Times New Roman" w:cs="Times New Roman"/>
          <w:sz w:val="28"/>
          <w:szCs w:val="28"/>
        </w:rPr>
      </w:pPr>
      <w:r w:rsidRPr="003D18FD">
        <w:rPr>
          <w:rFonts w:ascii="Times New Roman" w:hAnsi="Times New Roman" w:cs="Times New Roman"/>
          <w:sz w:val="28"/>
          <w:szCs w:val="28"/>
        </w:rPr>
        <w:t xml:space="preserve">        </w:t>
      </w:r>
      <w:bookmarkStart w:id="0" w:name="_GoBack"/>
      <w:r w:rsidR="00E50AB3" w:rsidRPr="003D18FD">
        <w:rPr>
          <w:rFonts w:ascii="Times New Roman" w:hAnsi="Times New Roman" w:cs="Times New Roman"/>
          <w:sz w:val="28"/>
          <w:szCs w:val="28"/>
        </w:rPr>
        <w:t>По-друге, у Порядку реєстрації, ведення реєстру та застосування програмних реєстраторів розрахункових операцій конкретизовано вимоги до статусу пристрою після встановлення на нього безкоштовного або іншого програмного рішення для програмного РРО. Тепер після встановлення безкоштовного або іншого програмного рішення для ПРРО на відповідний пристрій, що належить суб'єкту господарювання на праві власності, володіння, користування, такий ПРРО підлягає реєстрації згідно з цим Порядком.</w:t>
      </w:r>
    </w:p>
    <w:p w:rsidR="00E50AB3" w:rsidRPr="003D18FD" w:rsidRDefault="00E50AB3" w:rsidP="00182552">
      <w:pPr>
        <w:jc w:val="both"/>
        <w:rPr>
          <w:rFonts w:ascii="Times New Roman" w:hAnsi="Times New Roman" w:cs="Times New Roman"/>
          <w:sz w:val="28"/>
          <w:szCs w:val="28"/>
        </w:rPr>
      </w:pPr>
    </w:p>
    <w:bookmarkEnd w:id="0"/>
    <w:p w:rsidR="00E50AB3" w:rsidRPr="003D18FD" w:rsidRDefault="00E50AB3" w:rsidP="00E50AB3">
      <w:pPr>
        <w:rPr>
          <w:rFonts w:ascii="Times New Roman" w:hAnsi="Times New Roman" w:cs="Times New Roman"/>
          <w:sz w:val="28"/>
          <w:szCs w:val="28"/>
        </w:rPr>
      </w:pPr>
    </w:p>
    <w:sectPr w:rsidR="00E50AB3" w:rsidRPr="003D18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E6"/>
    <w:rsid w:val="00182552"/>
    <w:rsid w:val="001953E6"/>
    <w:rsid w:val="003D18FD"/>
    <w:rsid w:val="00577D1F"/>
    <w:rsid w:val="00A63A72"/>
    <w:rsid w:val="00E50AB3"/>
    <w:rsid w:val="00EB5C9B"/>
    <w:rsid w:val="00EE4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B1E9-8826-4C08-BE46-E4AA8A8C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1475</Words>
  <Characters>842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Дитюк Людмила Василівна</dc:creator>
  <cp:keywords/>
  <dc:description/>
  <cp:lastModifiedBy>Дитюк Людмила Василівна</cp:lastModifiedBy>
  <cp:revision>6</cp:revision>
  <dcterms:created xsi:type="dcterms:W3CDTF">2021-09-20T09:56:00Z</dcterms:created>
  <dcterms:modified xsi:type="dcterms:W3CDTF">2021-09-20T11:21:00Z</dcterms:modified>
</cp:coreProperties>
</file>